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22.02.2023, оставленным без изменения постановлением Арбитражного суда Волго-Вятского округа от 16.06.2023,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