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01.12.2022, оставленным без изменения постановлением Арбитражного суда Волго-Вятского округа от 26.05.2023,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