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27.02.2023, оставленным без изменения постановлением Арбитражного суда Волго-Вятского округа от 16.06.2023,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