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16.01.2023, оставленным без изменения постановлением Арбитражного суда Волго-Вятского округа от 16.06.2023,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