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22.02.2023, оставленным без изменения постановлением Арбитражного суда Волго-Вятского округа от 09.06.2023,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