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«Тефла» обратилось в Арбитражный суд Пермского края с иском о взыскании с ООО «Нефтехимснаб» 1 915 500 рублей задолженности по договору на оказание транспортных услуг от 02.10.2017 № 001 и 240 908 рублей 25 копеек пени, с последующим их начислением по день фактической оплаты долга. К участию в деле в качестве третьего лица, не заявляющего самостоятельных требований относительно предмета спора, привлечена Инспекция Федеральной налоговой службы по Свердловскому району в городе Перми. Решением Арбитражного суда Пермского края от 26.08.2022 в удовлетворении иска отказано. Постановлением Семнадцатого арбитражного апелляционного суда от 27.12.2022 решение суда первой инстанции оставлено без изменения. Арбитражный суд Уральского округа постановлением от 15.05.2023 указанные судебные акты оставил без изменения. ООО «Тефла»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оказания истцом транспортных услуг, руководствуясь положениями статей 785 , 790 Гражданского кодекса Российской Федерации, статьей 8 Федерального закона от 08.11.2007 № 259-ФЗ «Устав автомобильного транспорта и городского наземного электрического транспорта», суды пришли к выводу об отсутствии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"Тефла" (подробнее) Ответчики: ООО "НефтеХимСнаб"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