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Второго арбитражного апелляционного суда от 14.12.2022, оставленным без изменения постановлением Арбитражного суда Волго-Вятского округа от 09.06.2023,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