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18.11.2022, оставленным без изменения постановлением Арбитражного суда Волго- Вятского округа от 25.05.2023,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