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18.11.2022, оставленным без изменения постановлением Арбитражного суда Волго-Вятского округа от 25.05.2023,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03.05.2022. В кассационной жалобе, поданной в Верховный Суд Российской Федерации, заявитель выражает несогласие с указанными судебными актами.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