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18.11.2022, оставленным без изменения постановлением Арбитражного суда Волго-Вятского округа от 25.05.2023,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