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26.12.2022, оставленным без изменения постановлением Арбитражного суда Волго-Вятского округа от 24.05.2023,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