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Томской области от 26.01.2023, оставленным без изменения постановлением Седьмого арбитражного апелляционного суда от 04.04.2023 и постановлением Арбитражного суда Западно-Сибирского округа от 08.06.2023, заявление удовлетворено. В кассационной жалобе Колесникова И.Н. просит об отмене судебных актов, ссылаясь на отсутствие доказательств использования заемных денежных средств на нужды семьи.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исходили из установленной в силу статей 35, 45 Семейного кодекса Российской Федерации и не опровергнутой должником и ответчиком презумпции расходования денежных средств на нужды семьи, поэтому признали общность обязательств супругов.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Колесниковой Инессе Николаевне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