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01.12.2022, оставленным без изменения определением того же суда от 25.05.2023,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