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28.10.2022, оставленным без изменения постановлением Девятого арбитражного апелляционного суда от 23.01.2023 и постановлением Арбитражного суда Московского округа от 11.05.2023, заявление удовлетворено. В кассационной жалобе Давтян Л.С. просит об отмене судебных актов, ссылаясь на непроверку довода о ее ненадлежащем извещении, неисследование значимых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ненадлежащем извещении проверен и признан не подтвержденным. Суды установили безвозмездность оспариваемых сделок и направленность их на выведение имущества должника из-под взыскания, создающие условия для недействительности сделок в силу статей 10, 168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Давтян Лауре Саркисовне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