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20.12.2022 заявление удовлетворено, из конкурсной массы должника исключено спорное недвижимое имущество. Постановлением Седьмого арбитражного апелляционного суда от 21.02.2023, определение суда от 20.12.2022 отменено, спор рассмотрен по правилам для суда первой инстанции и в удовлетворении заявления отказано. Арбитражный суд Западно-Сибирского округа постановлением от 11.05.2023 отменил определение от 20.12.2022 и постановление апелляционного суда от 21.02.2023, направив заявление на новое рассмотрение в арбитражный суд первой инстанции. В кассационной жалобе Белов М.А. просит об отмене постановления окружного суда, ссылаясь на отсутствие оснований для отмены судебных актов нижестоящих инстанций.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признав необходимость нового рассмотрения спора для установления не исследованных судами нижестоящих инстанций значимых обстоятельств, действовал в пределах полномочий, предоставленных статьями 286 - 288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Белову Максиму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