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Марий Эл от 03.11.2022, оставленным без изменения постановлением Первого арбитражного апелляционного суда от 10.02.2023 и постановлением Арбитражного суда Волго-Вятского округа от 06.06.2023, в удовлетворении заявления отказано. В кассационной жалобе Казаринов Ю.М. просит об отмене судебных актов, ссылаясь на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обстоятельств для снятия исполнительского иммунитета с квартиры в качестве последствия недействительности сделки с ней. Иная оценка последствий оспариваемого соглашения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Казаринову Юрию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