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24.04.2023, оставленным без изменения постановлением Девятого арбитражного апелляционного суда от 02.06.2023, дело № А40-237216/2022 передано на рассмотрение в Арбитражный суд Тюменской области. В кассационных жалобах заявители просят об отмене судебных актов, ссылаясь на нарушение порядка передачи дела подсудности.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2 Суды, оценивая возражения о манипуляции должником подсудностью, определили ее по месту регистрации должника в период возбуждения дела о банкротстве. Изменение подсудности после введения одной из процедур банкротства не является нарушением порядка передачи дела по подсудности.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Куринному Алексею Владимировичу, финансовому управляющему Григорьеву Сергею Олеговичу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