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25.11.2022 в удовлетворении заявления отказано. Пятый арбитражный апелляционный суд постановлением от 30.01.2023, оставленным без изменения постановлением Арбитражного суда Дальневосточного округа от 12.05.2023, заявление удовлетворил. В кассационной жалобе Горелова Н.В. просит об отмене судебных актов апелляционного и окружного судов, ссылаясь на отсутствие условий недействительности договоров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Совершение аффилированнымм лицами безвозмездных сделок при наличии у должника неисполненных обязательств перед кредиторами суд апелляционной инстанции признал направленным на причинение вреда кредиторам и создающим недействительность оспариваемых договоров в силу статей 10, 168, 170 Гражданского кодекса Российской Федерации. Доводу об исполнительском иммунитете в отношении квартиры дана оценка. Вопрос о сроке исковой давности разрешен в соответствии с пунктом 1 статьи 181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Гореловой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