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07.10.2022 в удовлетворении заявления отказано. Тринадцатый арбитражный апелляционный суд постановлением от 13.02.2023 отменил определение от 07.10.2022 и удовлетворил заявление. Арбитражный суд Северо-Западного округа постановлением от 23.05.2023 отменил постановление апелляционного суда от 13.02.2023 и оставил в силе определение от 07.10.2022. В кассационной жалобе Волков П.В. просит об отмене судебных актов первой и кассационной инстанций, ссылаясь на неправильную оценку обстоятельств совершения сделки.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 первой инстанции установил получение должником равноценного встречного предоставления по оспариваемой сделке и отсутствие от нее вреда кредиторам, исключающие недействительность в силу статьи 61.2 Федерального закона от 26.10.2002 № 127-ФЗ «О несостоятельности (банкротстве)». У апелляционного суда отсутствовали основания для иной оценки обстоятельств совершения сделки, в связи с чем его постановление отменено окружным судом в силу статей 286, 287 Арбитражного процессуального кодекса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Волкову П.В.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