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Астраханской области от 16.11.2022 процедура реализации имущества должника завершена, должник освобожден от дальнейшего исполнения требований кредиторов. Постановлением Двенадцатого арбитражного апелляционного суда от 14.03.2023 определение от 16.11.2022 отменено в части, Веселов В.Н. освобожден от дальнейшего исполнения требований кредиторов за исключением требования Ершова А.В. Постановлением Арбитражного суда Поволжского округа от 31.05.2023 постановление апелляционного суда отменено, определение суда первой инстанции оставлено в силе. В кассационной жалобе Ершов А.В. просит об отмене определения суда первой инстанции и постановления окружного суда, ссылаясь на игнорирование недобросовестности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исследовал и оценил поведение должника в ситуациях образования и погашения задолженности и признал его создающим условия для применения правил пункта 3 статьи 213.28 Федерального закона от 26.10.2002 № 127-ФЗ «О несостоятельности (банкротстве)» для освобождения от исполнения обязательств. В отсутствие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 предусмотренной статьями 286 - 288 Арбитражного процессуального кодекса Российской Федерации. Иная оценка кредитором поведения должника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Ершову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