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28.10.2022, оставленным без изменения постановлением Девятого арбитражного апелляционного суда от 20.01.2023 и постановлением Арбитражного суда Московского округа от 11.05.2023, заявление удовлетворено. В кассационной жалобе Давтян Л.С. просит об отмене судебных актов, ссылаясь на непроверку довода о ее ненадлежащем извещении, неисследование значимых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 ненадлежащем извещении проверен и признан не подтвержденным. Суды установили безвозмездность оспариваемых сделок и направленность их на выведение имущества должника из-под взыскания, создающие условия для недействительности сделок в силу статей 10, 168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Давтян Лауре Саркисовне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