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21.12.2022, оставленным без изменения постановлением Одиннадцатого арбитражного апелляционного суда от 27.02.2023 и постановлением Арбитражного суда Поволжского округа от 23.05.2023, процедура реализации имущества гражданина завершена, должник освобожден от дальнейшего исполнения требований кредиторов. В кассационной жалобе Хамидулина Е.В.просит об отмене судебных актов, ссылаясь на ненадлежащую оценку поведения должника, незаконное освобождение от обязательств по возмещению вреда.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об освобождении от исполнения обязательств. Приведенные в жалобе доводы исследованы,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Хамидулиной Елене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