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31.10.2022, оставленным без изменения постановлением Десятого арбитражного апелляционного суда от 24.01.2023 и постановлением Арбитражного суда Московского округа от 21.04.2023, в удовлетворении исковых требований отказано. В кассационной жалобе, поданной в Верховный Суд Российской Федерации, общество просит отменить указанные судебные акты как незаконные. По запросу судьи Верховного Суда Российской Федерации от 31.07.2023 дело истребовано из Арбитражного суда Московской области. Основаниями для отмены или изменения Судебной коллегией Верховного Суда Российской Федерации судебных актов в порядке кассационного 2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(статья 291.11 Арбитражного процессуального кодекса Российской Федерации). Таких оснований для пересмотра судебных актов по доводам кассационной жалобы, изученным по материалам истребованного дела, не установлено. Отказывая в удовлетворении иска и подтверждая правильность этого вывода, суды, исследовав и оценив представленные в материалы дела доказательства, с учетом фактических обстоятельств дела, а также обстоятельств, установленных вступившими в законную силу судебными актами по другим арбитражным делам, руководствуясь положениями гражданского законодательства и законодательства, регулирующего обращение с твердыми коммунальными отходами и порядок их коммерческого учета объема и (или) массы, пришли к выводу о недоказанности истцом факта оказания ответчику спорных услуг в заявленный период. Доводы заявителя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«ЭкоЛайн-Воскресенск»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