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Курской области от 28.10.2022, оставленным без изменения постановлением Девятнадцатого арбитражного апелляционного суда от 08.02.2023 и постановлением Арбитражного суда Центрального округа от 15.05.2023, заявление удовлетворено. В кассационной жалобе Кочетова С.А. просит об отмене судебных актов, ссылаясь на неправильную оценку обстоятельств дела, нарушение процессуальных прав.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условия для недействительности договора в силу пункта 2 статьи 61.2 Федерального закона от 26.10.2002 № 127 ФЗ «О несостоятельности (банкротстве)», требуемая переоценка которых заявителем не попадает под основания для кассационного пересмотра судебных актов. Нарушения процессуальных прав заявителем не подтверждено.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Кочетовой Светлане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