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20.03.2023, оставленным без изменения постановлением Семнадцатого арбитражного апелляционного суда от 05.05.2023 и постановлением Арбитражного суда Уральского округа от 07.07.2023, в удовлетворении заявления отказано. В кассационной жалобе Матвеев С.Л. просит об отмене судебных актов, ссылаясь на наличие законных оснований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обстоятельства совершения отказа должником от наследования суды признали не создающими условия для применения статей 10, 168, 170 Гражданского кодекса Российской Федерации Требуемая в жалобе переоценка установленных обстоятельств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Матвееву Сергею Леонтьевичу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