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18.11.2022, оставленным без изменения постановлением Девятого арбитражного апелляционного суда от 08.02.2023 и постановлением Арбитражного суда Московского округа от 15.05.2023, в удовлетворении заявления отказано. В кассационной жалобе банк просит об отмене судебных актов, ссылаясь на игнорирование судами отсутствия законных препятствий для ограничения исполнительского иммунитета в отношении единственного жилого помещения должника, имеющего признаки роскошного.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наличие исполнительского иммунитета в отношении 1/3 жилого дома и нецелесообразное его ограничение, руководствуясь при этом статьей 69 Арбитражного процессуального кодекса Российской Федерации и критериями, содержащимися в постановлении Конституционного Суда Российской Федерации от 26.04.2021 № 15-П.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«АКБ «Проминвестбанк»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