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разрешении разногласий между залоговыми кредиторами (заявителем и несостоятельным акционерным коммерческим банком «Российский капитал», правопреемником которого также является государственная корпорация «Агентство по страхованию вкладов») по вопросу старшинства залогов, просил признать за ним преимущественное право на удовлетворение требований за счёт заложенного имущества должника. Определением Арбитражного суда города Москвы от 07.02.2022, оставленным без изменения постановлением Девятого арбитражного апелляционного суда от 28.04.2022, в удовлетворении заявления отказано. Постановлением Арбитражного суда Московского округа от 12.07.2022 принятые делу судебные акты отменены, обособленный спор направлен на новое рассмотрение в суд первой инстанции. На новом рассмотрении обособленного спора определением Арбитражного суда города Москвы от 09.12.2022, оставленным без изменения постановлениями Девятого арбитражного апелляционного суда от 21.02.2023 и Арбитражного суда Московского округа от 16.05.2023, в удовлетворении заявления отказано. 2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отказывая в удовлетворении заявления, суды, руководствуясь статьёй 342.1 Гражданского кодекса Российской Федерации, статьями 60, 138 Федерального закона от 26.10.2002 № 127-ФЗ «О несостоятельности (банкротстве)», абзацем пятым пункта 22.1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приоритета погашения требований банка «Российский капитал» как первоначального кредитора-залогодержателя (за счёт которого был построен основной актив должника) перед погашением требований заявителя как последующего залогодержателя. При этом суды допустили возможность погашения требований банка в рамках дел о банкротстве его основных заёмщиков – обществ с ограниченной ответственностью «МДК» и «Региональное развитие» за счёт перешедших к ним в собственность объектов недвижимости.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