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Несогласие с выводами судов по результатам оценки представленных доказательств, выраженное в доводах жалобы и направленное, по сути, на переоценку данных доказательств, установление новых обстоятельств по делу, учитывая полномочия Судебной коллегии Верховного Суда Российской Федерации, определенные статьей 29114 Арбитражного процессуального кодекса Российской Федерации, не может служить основанием для отмены либо изменения обжалуемых судебных актов.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главе крестьянского (фермерского) хозяйства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"Мясокомбинат Бобровский" (подробнее) Ответчики: Глава КФХ Кравинский Анатолий Стахович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