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жалобой на действия (бездействие) финансового управляющего его имуществом Шушунова Вадима Александровича по выполнению процедур и порядка продажи имущества должника, его оценке, организации торгов имуществом, по непринятию мер для новой оценки (переоценки) имущества должника и внесения изменений в Положение о порядке и условиях реализации заложенного имущества должника. Кроме того должник просил отстранить Шушунова В.А. от исполнения обязанностей финансового управляющего. Определением Арбитражного суда Пермского края от 03.11.2022, оставленным без изменения постановлениями Семнадцатого арбитражного апелляционного суда от 28.12.2022 и Арбитражного суда Уральского округа от 15.05.2023,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60, 110, 138, 213.9, 213.26 Федерального закона от 26.10.2002 № 127-ФЗ «О несостоятельности (банкротстве)», исходили из того, что стоимость переданного на торги имущества определена залоговым кредитором, а доводы о занижении цены реализации являлись предметом судебной оценки в ином обособленном споре, в материалы дела не представлено доказательств несоответствия оспариваемых действий (бездействия) финансового управляющего требованиям законодательства о банкротстве, нарушения ими чьих – либо прав и законных интересов (включая заявителя), в связи с чем пришли к выводам об отсутствии оснований для удовлетворения заявленных требований.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