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предприниматель обратился в суд с заявлением о включении в реестр требований кредиторов должника (далее – реестр) его требования в размере 54 011 873 рублей 49 копеек. Определением Арбитражного суда Московской области от 15.12.2022, оставленным без изменения постановлениями Десятого арбитражного апелляционного суда от 02.03.2023 и Арбитражного суда Московского округа от 01.06.2023, требование в заявленном размере признано обоснованным и подлежащим удовлетворению в очерёдности, предшествующей распределению ликвидационной квоты.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судов в части понижения очерёдности удовлетворения его требования.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19, 71, 100, 142 Федерального закона от 26.10.2002 № 127-ФЗ «О несостоятельности (банкротстве)», Обзором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от 29.01.2020, исходили из направленности заявленного требования на возврат компенсационного финансирования, ранее предоставленного должнику аффилированным с ним лицом в ситуации имущественного кризиса и невостребованного в разумный срок, в связи с чем понизили его в очерёдности удовлетворения. Выводы судов в обжалуемой заявителем части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