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Мартынов Константин Андреевич обратился в суд с заявлением о признании недействительным договора купли-продажи 50 % доли участия в уставном капитале общества с ограниченной ответственностью «ПромСтрой-Инвест» (далее – общество) от 24.08.2021, заключенного между должником и Эсентаевым М.С.; применении последствий недействительности сделки. Определением Арбитражного суда Тюменской области от 15.12.2022, оставленным без изменения постановлениями Восьмого арбитражного апелляционного суда от 06.03.2023 и Арбитражного суда Западно-Сибирского округа от 15.05.2023,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 в удовлетворении заявления. 22.08.2023 от финансового управляющего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суды, руководствуясь статьёй 2, пунктами 1 и 2 статьи 61.2 Федерального закона от 26.10.2002 № 127-ФЗ «О несостоятельности (банкротстве)», исходили из доказанности совокупности условия для признания недействительной оспариваемой сделки, совершенной в период подозрительности с несоразмерным встречным исполнением (выраженным в уступке должником доли участия в действующем, финансово состоятельном обществе по её номинальной стоимости), причинившей вред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