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договора поставки от 30.03.2018 № 12-П и сделок, оформленных товарными накладными, заключенных между должником и Кириллиным М.В. Определением Арбитражного суда Ростовской области от 16.12.2022, оставленным без изменения постановлениями Пятнадцатого арбитражного апелляционного суда от 10.02.2023 и Арбитражного суда Северо-Кавказского округа от 19.05.2023, заявление удовлетворено; применены последствия недействительности сделок в виде признания задолженности должника перед Кириллиным М.В. отсутствующей. В кассационной жалобе, поданной в Верховный Суд Российской Федерации, заявитель просит отменить названные судебные акты и отказать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подозрительности, при наличии признаков несостоятельности должника и недоказанности наличия у Кириллина М.В. возможности совершить оспариваемые сделки, их экономической целесообразности для должника, пришли к выводу об обоснованности заявления, указав на следствие сделок – формирование мнимой кредиторской задолженности,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