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умершего Шестопалова Юрия Владимировича в Арбитражный суд города Москвы обратился Шестопалов Юрий Юрьевич (наследник должника) с заявлением об исключении из реестра требований кредиторов должника требования кредитора ООО «Рентфорте Н» в размере 119 212 830 рублей основного долга, 9 211 337 рублей 67 копеек процентов, 1 737 313 рублей 13 копеек пени. Определением Арбитражного суда города Москвы от 13.02.2023 в удовлетворении заявления отказано. Постановлением Девятого арбитражного апелляционного суда от 05.04.2023 определение суда первой инстанции оставлено без изменения. Арбитражный суд Московского округа постановлением от 19.06.2023 указанные судебные акты оставил без изменения. Шестопалов Ю.Ю.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пункта 6 статьи 16 Федерального закона от 26.10.2002 № 127-ФЗ «О несостоятельности (банкротстве)» и исходили из недоказанности заявителем наличия оснований для исключения требования общества из реестра требований кредиторов должника, учитывая, что цессионарий оплатил приобретенное у банка на торгах право требования дебиторской задолженности к Карпову А.Е., Шестопалову Ю.В. и ООО «Балог» по договору уступки прав требования (цессии).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