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об изменении очерёдности удовлетворения требований общества «Макс-Фасад» в реестре требований кредиторов должника (далее – реестр). Определением Арбитражного суда Краснодарского края от 13.12.2022, оставленным без изменения постановлениями Пятнадцатого арбитражного апелляционного суда от 02.03.2023 и Арбитражного суда Северо-Кавказского округа от 01.06.2023, заявление удовлетворено; требование общества «Макс- Фасад» исключено из реестра требований участников строительства о передаче жилых помещений и включено в четвёртую очередь реестра в размере 6 781 195 рублей 20 копеек. В кассационной жалобе, поданной в Верховный Суд Российской Федерации, заявитель просит отменить указанные судебные акты и принять новый судебный акт об отказе в удовлетворении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201.1, 201.5 и 201.9 Федерального закона от 26.10.2002 № 127-ФЗ «О несостоятельности (банкротстве)», исходили из того, что требования общества «Макс-Фасад» не могут быть учтены как требования участника строительства и подлежат учёту в четвёртой очереди реестра, признав обоснованность заявления конкурсного управляющего должником.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 заявителя были предметом рассмотрения судов, получили надлежащую правовую оценку и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