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19.12.2022, оставленным без изменения постановлением Восьмого арбитражного апелляционного суда от 09.03.2023 и постановлением Арбитражного суда Западно-Сибирского округа от 18.05.2023, в удовлетворении заявления отказано. В кассационной жалобе общество «Профгрупп» просит об отмене судебных актов, ссылаясь на несоответствие их фактическим обстоятельствам.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заключения брачного договора от 09.12.2016 суды не усмотрели нарушения сторонами пределов осуществления гражданских прав с целью причинения вреда кредиторам должника, необходимого для признания договоров недействительными в силу статей 10, 168 Гражданского кодекса Российской Федерации. Иная оценка кредитором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«Профгрупп»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