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«Сервис» (далее – Общество) обратилось в Арбитражный суд Кемеровской области с исковым заявлением к муниципальному образованию Тисульский муниципальный округ Кемеровской области – Кузбасса в лице Администрации Тисульского муниципального округа (далее – Муниципальное образование) о признании Муниципального образования собственником квартиры № 39, расположенной по адресу: Кемеровская обл., Тисульский р-н, пгт. Белогорск, ул. Юбилейная, д. 6 (далее – МКД). К участию в деле в качестве третьего лица, не заявляющего самостоятельных требований относительно предмета спора, привлечена Дерменева Таисия Ивановна. Решением Арбитражного суда Кемеровской области от 19.12.2022, оставленным без изменения постановлением Седьмого арбитражного апелляционного суда от 28.03.2023 и постановлением Арбитражного суда Западно-Сибирского округа от 21.06.2023,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Фактически доводы кассационной жалобы сводятся к констатации наличия материально-правового интереса в признании за Муниципальным образованием права собственности на квартиру для последующего отнесения на ответчика расходов по содержанию имущества.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спорная квартира № 39 общей площадью 41,5 кв. м расположена в названном МКД. Согласно выписке из Единого государственного реестра недвижимости по состоянию на 14.09.2022 собственником квартиры является Дерменева Т.С., которая умерла 19.02.2004. Полагая, что в связи со смертью собственника квартиры и отсутствием наследников спорная недвижимость является выморочным имуществом, Общество обратилось в арбитражный суд к Муниципальному образованию с настоящим иском. Исследовав и оценив по правилам статьи 71 АПК РФ представленные доказательства, руководствуясь статьями 12, 218, 1110, 1151, 1157 Гражданского кодекса Российской Федерации, разъяснениями, изложенными в постановлении Пленума Верховного Суда Российской Федерации от 29.05.2012 № 9 «О судебной практике по делам о наследовании», суды правомерно отказали в удовлетворении заявленных требования, указав, что фактически обращение истца в суд обусловлено не наличием спора между сторонами, а необходимостью определенности в отношении собственника спорного объекта. Между тем, муниципальное образование в силу прямого указания закона признается наследником выморочного имущества и несет ответственность по долгам наследодателя в пределах перешедшего к нему наследственного имущества, учитывая, что при наследовании наследственного имущества отказ от наследства не допускается. Суды отметили, что право управляющей компании на получение денежных средств за соответствующие жилищно-коммунальные услуги должно реализовываться посредством предъявления соответствующего требования к муниципальному образованию как к собственнику выморочного имущества. 3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