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АО НПК «Катрен» обратилось в Верховный Суд Российской Федерации с кассационной жалобой на постановление Арбитражного суда Московского округа от 08.06.2023 по делу № А40-146258/2020 Арбитражного суда города Москвы. До рассмотрения кассационной жалобы по существу от заявителя поступило ходатайство о возвращении кассационной жалобы. Согласно пункту 4 части 1 статьи 291.5 Арбитражного процессуального кодекса Российской Федерации кассационная жалоба возвращается без рассмотрения по существу, если поступило ходатайство о возвращении или об отзыве кассационной жалобы. С учетом изложенного кассационная жалоба подлежит возвращению без рассмотрения по существу. Руководствуясь статьями 184, 185, пунктом 4 части 1 статьи 291.5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АО НПК «Катрен» о возвращении кассационной жалобы удовлетворить. Возвратить АО НПК «Катрен» кассационную жалобу на постановление Арбитражного суда Московского округа от 08.06.2023 по делу № А40-146258/2020 Арбитражного суда города Москвы без рассмотрения по существу. Судья Верховного Суда Российской Федерации Зарубина Е.Н.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