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перечисление должником денежных средств в период с 27.04.2018 по 06.06.2019 Манукян Соник Мехаковны и применении последствий недействительности сделки. Определением Арбитражного суда Омской области от 17.10.2022, оставленным без изменения постановлениями Восьмого арбитражного апелляционного суда от 29.12.2022 и Арбитражного суда Западно-Сибирского округа от 29.03.2023, отказано в удовлетворении заявления. В кассационной жалобе, поданной в Верховный Суд Российской Федерации, заявитель просит отменить оспариваемые судебные акты и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недоказанности причин для удовлетворения требований по заявленным основаниям, указав, что оспариваемые перечисления являются выплатой заработной платы Манукян С.М. и не выходят за рамки обычной хозяйственной деятельности должника. Выводы судов соответствуют нормам права, оснований для переоценки этих выводов не имеется,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