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 кассационной инстанций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суд апелляционной инстанции отказал в удовлетворении первоначального иска и частично удовлетворил встречные требования, 2 исходя из установленного факта отсутствия на стороне ответчика (генподрядчик) неисполненного денежного обязательства и наличия оснований для применения к истцу (подрядчик) предусмотренных договором мер ответственности. Приведенные в кассационной жалобе доводы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апелляционной и кассационной инстанций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«СтройСила»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