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Суды, исследовав и оценив представленные в материалы дела доказательства, руководствуясь положениями гражданского, жилищного 2 законодательства и законодательства, регулирующего обращение с твердыми коммунальными отходами (далее – ТКО) и порядок их коммерческого учета объема и (или) массы, исходя из подтвержденности факта оказания истцом ответчику в спорный период услуг по обращению с ТКО и отсутствия доказательств их оплаты, проверив и признав верным представленный истцом расчет, пришли к выводу о наличии оснований для удовлетворения иска.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«Кривоноса-3»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