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Суды, исследовав и оценив представленные в материалы дела доказательства, руководствуясь положениями гражданского законодательства 2 и законодательства, регулирующего обращение с твердыми коммунальными отходами (далее – ТКО) и порядок их коммерческого учета объема и (или) массы, установив факт оказания истцом ответчику в спорный период услуг по обращению с ТКО, отсутствие доказательств оплаты оказанных услуг в полном объеме, проверив и признав верным представленный истцом расчет, пришли к выводу о наличии оснований для удовлетворения иска.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«НВ-Сервис»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