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соглашения о зачёте взаимных требований между должником и обществом с ограниченной ответственностью «АСТЭК» от 25.03.2020, подписанного в связи с заключением договора купли-продажи транспортного средства от 23.03.2020 на сумму 2 855 367 рублей 69 копеек, и о применении последствий недействительности сделки. Определением Арбитражного суда Чувашской Республики – Чувашии от 12.12.2022, оставленным без изменения постановлениями Первого арбитражного апелляционного суда от 13.02.2023 и Арбитражного суда Волго-Вятского округа от 17.05.2023,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61.3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