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«Блэк Борд» обратилось в суд с заявлением о включении в реестр требований кредиторов должника (далее – реестр) требования в размере 20 482 848 рублей 56 копеек. Определением Арбитражного суда Московской области от 27.12.2022, оставленным без изменения постановлениями Десятого арбитражного апелляционного суда от 05.04.2023 и Арбитражного суда Московского округа от 16.06.2023,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196-200 Гражданского кодекса Российской Федерации, статей 19, 71 и 100 Федерального закона от 26.10.2002 № 127-ФЗ «О несостоятельности (банкротстве)», исходили отсутствия оснований для удовлетворения заявления общества «Блэк Борд», являющегося аффилированным с должником лицом, ввиду отсутствия надлежащих доказательств обоснованности требований последнего к должнику, также указав на пропуск срока исковой давности, что является самостоятельным основанием для отказа в удовлетворении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