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недействительной сделкой договор купли-продажи от 17.10.2020 транспортного средства Subaru Forester 2015 года выпуска, заключенный между должником и Бураковым А.Б., и применении последствия недействительности сделки в виде взыскания с Буракова А.Б. в конкурсную массу должника 1 224 000 рублей. Определением Арбитражного суда Иркутской области 26.10.2022, оставленным без изменения постановлениями Четвёртого арбитражного апелляционного суда от 08.02.2023 и Арбитражного суда Восточно-Сибирского округа от 15.05.2023, названные требования удовлетворены.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1 статьи 61.2 и статьи 61.6 Федерального закона от 26.10.2002 № 127-ФЗ «О несостоятельности (банкротстве)», исходили из совершения названной сделки в пределах года до возбуждения настоящего дела о банкротстве при наличии признаков несостоятельности должника и неравноценном встречном исполнении, пришли к выводу об обоснованности заявления, правомерно применив последствия недействительности сделки.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о ненадлежащем уведомлении были предметом рассмотрения судов апелляционной инстанции и округа, получили надлежащую правовую оценку, отклонены как несостоятельные с подробным изложением мотивов отклонения.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