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 содержания судебных актов следует, что суды, удовлетворяя исковые требования,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со ссылкой на положения норм 2 действующего законодательства применительно к установленным фактическим обстоятельствам дела.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государственного унитарного предприятия «Главный центр специальной связи»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