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договоров участия в долевом строительстве от 10.05.2017 № 90, от 29.06.2017 № 92, от 03.10.2017 № 99, от 16.03.2018 № 112, от 04.06.2018 № 123, от 05.02.2018 № Н-5, заключённых между должником и Шамак С.Н., применении последствий недействительности сделок. Шамак С.Н. направила в суд заявление о включении требования в размере 15 534 645 рублей 83 копейки в реестр требований кредиторов должника (далее – реестр). Названные заявления объединены для совместного рассмотрения. Определением Арбитражного суда Новосибирской области от 28.06.2021, оставленным без изменения постановлением Седьмого арбитражного апелляционного суда от 25.01.2022, отказано в удовлетворении заявления конкурсного управляющего о признании сделок недействительными; 2 требование Шамак С.Н. признано обоснованным и подлежащим удовлетворению за счёт имущества должника, оставшегося после удовлетворения требований кредиторов, включённых в реестр. Постановлением Арбитражного суда Западно-Сибирского округа от 18.04.2022 отменены названные судебные акты, обособленный спор направлен на новое рассмотрение в Арбитражный суд Новосибирской области. При новом рассмотрении определением Арбитражного суда Новосибирской области от 19.12.2022, оставленным без изменения постановлениями Седьмого арбитражного апелляционного суда от 02.03.2023 и Арбитражного суда Западно-Сибирского округа от 09.06.2023, отказано в удовлетворении требований Шамак С.Н.; удовлетворено заявление конкурсного управляющего должником, применены последствия недействительности сделок в виде обязания Шамак С.Н. вернуть в конкурсную массу должника переданное имущество.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оспариваемых сделок аффилированными лицами с противоправной целью в пределах периода подозрительности, при наличии признаков несостоятельности должника, отсутствии надлежащих доказательств как экономический целесообразности сделок для должника, так и финансовой возможности у Шамак С.Н. их совершить, пришли к выводу об обоснованности заявления конкурсного управляющего, указав на следствие сделок – причинение вреда имущественным правам кредиторов должника, правомерно применив последствия недействительности сделок. 3 Изложенное также стало основанием для отказа в удовлетворении встречных требований Шамак С.Н.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