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Омской области от 13.12.2022 процедура реализации имущества гражданина Черникова С.И. завершена, должник освобожден от дальнейшего исполнения требований кредиторов. Постановлением Восьмого арбитражного апелляционного суда от 06.03.2023 определение суда первой инстанции оставлено без изменения. Арбитражный суд Западно-Сибирского округа постановлением от 30.05.2023 указанные судебные акты оставил без изменения. АО «Юридическое бюро ФАКТОРИУС» обратилось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Завершая процедуру реализации имущества должника, суды руководствовались положениями статей 213.2, 213.25, 213.28 Федерального закона от 26.10.2002 № 127-ФЗ «О несостоятельности (банкротстве)», разъяснениями, изложенными в пунктах 45 и 46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и исходили из проведения необходимых мероприятий по выявлению и реализации имущества должника и отсутствия возможности пополнения конкурсной массы, а также применили в отношении должника правила об освобождении от исполнения обязательств, не усмотрев в действиях должника недобросовестного поведения, умышленного уклонения от исполнения обязательств перед кредиторами, не установив признаков преднамеренного и фиктивного банкротства.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