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452 569 895 рублей 18 копеек. Определением Арбитражного суда города Санкт-Петербурга и Ленинградской области от 31.10.2022, оставленным без изменения постановлениями Тринадцатого арбитражного апелляционного суда от 05.03.2023 и Арбитражного суда Северо-Западного округа от 09.06.2023, требование общества в размере 171 716 609 рублей 34 копейки признано обоснованным и подлежащим включению в третью очередь реестра;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 и 100 Федерального закона от 26.10.2002 № 127-ФЗ «О несостоятельности (банкротстве)», правовой позицией, изложенной в пунктах 19 и 20 Обзора судебной практики по спорам, связанным с договором финансовой аренды (лизинга), утвержденного Президиумом Верховного Суда Российской Федерации 27.10.2021, исходили из необоснованности требований общества к должнику в размере, превышающим названный, придя к выводу об отсутствии оснований для включения их в реестр.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