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с ограниченной ответственностью «Техногруппа» обратилось в суд с жалобой на действия (бездействие) конкурсного управляющего должником Кудашева Тагира Равильевича о признании незаконным бездействия, выразившегося в неоспаривании сделки должника по сдаче имущества в аренду, непроведении оценки условий сделки; и незаконными действий, выразившихся в продолжении арендных отношений; взыскании с Кудашева Т.Р. 8 280 000 рублей убытков; отстранении Кудашева Т.Р. от исполнения обязанностей. Определением Арбитражного суда Саратовской области от 10.11.2022, оставленным без изменения постановлениями Двенадцатого арбитражного апелляционного суда от 31.01.2023 и Арбитражного суда Поволжского округа от 22.05.2023,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 и 145 Федерального закона от 26.10.2002 № 127-ФЗ «О несостоятельности (банкротстве)», установив наличие причинно-следственной связи между обжалуемыми действиями (бездействием) управляющего и убытками на стороне должника в указанном размере, пришли к выводу об обоснованности заявления и наличия оснований для отстранения Кудашева Т.Р. от исполнения обязанностей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