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Иризов Аркадий Зубанилович обратился в суд с заявлением об установлении процентов по вознаграждению конкурсного управляющего должника от размера удовлетворенных требований залоговых кредиторов в размере 13 606 571 рубль 62 копейки. Определением Арбитражного суда Московской области от 11.01.2023, оставленным без изменения постановлениями Десятого арбитражного апелляционного суда от 09.03.2023 и Арбитражного суда Московского округа от 05.06.2023, заявление удовлетворено. В кассационной жалобе, поданной в Верховный Суд Российской Федерации, заявитель просит отменить названные судебные акты ин 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13 статьи 20.6 Федерального закона от 26.10.2002 № 127-ФЗ «О несостоятельности (банкротстве)», исходили из отсутствия оснований как для ограничения права Иризова А.З. на получение соответствующего вознаграждения, так и для уменьшения его размера.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